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335</w:t>
      </w:r>
    </w:p>
    <w:p>
      <w:r>
        <w:t>Bundesgericht (BGE), 1997-08-13, FR</w:t>
      </w:r>
    </w:p>
    <w:p>
      <w:r>
        <w:rPr>
          <w:b/>
        </w:rPr>
        <w:t xml:space="preserve">Quelle: </w:t>
      </w:r>
      <w:r>
        <w:t>https://mcp.opencaselaw.ch/entscheid/bge_123 III 335</w:t>
      </w:r>
    </w:p>
    <w:p>
      <w:r>
        <w:t>FR: ATF 123 III 335</w:t>
      </w:r>
    </w:p>
    <w:p>
      <w:r>
        <w:t>IT: DTF 123 III 335</w:t>
      </w:r>
    </w:p>
    <w:p>
      <w:pPr>
        <w:pStyle w:val="Heading2"/>
      </w:pPr>
      <w:r>
        <w:t>Regeste</w:t>
      </w:r>
    </w:p>
    <w:p>
      <w:r>
        <w:t>Regeste Verteilung des Erlöses. Aufforderung an einen Gläubiger, einen ihm überwiesenen Betrag zurückzuerstatten, welcher der Deckung der Massekosten im Sinne von Art. 262 SchKG dienen soll. Die an einen Gläubiger gerichtete Aufforderung des Konkursamtes, ihm einen zu Unrecht bezogenen Betrag zurückzuerstatten, ist keine im Sinne von Art. 17 SchKG anfechtbare Verfügung. Dem Konkursamt steht die Klage aus ungerechtfertigter Bereicherung offen (Bestätigung der Rechtsprechung).</w:t>
      </w:r>
    </w:p>
    <w:p>
      <w:pPr>
        <w:pStyle w:val="Heading2"/>
      </w:pPr>
      <w:r>
        <w:t>Erwägungen</w:t>
      </w:r>
    </w:p>
    <w:p>
      <w:r>
        <w:rPr>
          <w:b/>
        </w:rPr>
        <w:t>E. 1</w:t>
      </w:r>
    </w:p>
    <w:p>
      <w:r>
        <w:t>L'arrêt attaqué tient pour bien fondé le point de vue de l'autorité cantonale inférieure de surveillance selon lequel la masse en faillite, si elle entendait récupérer ce qu'elle avait versé prétendument à tort à la créancière gagiste, devait agir par la voie judiciaire. Le point de vue en question est parfaitement conforme à la jurisprudence du Tribunal fédéral ( ATF 35 I 480 ; ATF 61 III 36 ; cf. également C. JÄGER, Commentaire de la LP, n. 1 ad art. 266, dernier paragraphe). Pour ce motif, la Chambre de céans peut donc s'y rallier à son tour, sans avoir à se prononcer sur les motifs particuliers avancés en l'espèce par l'autorité cantonale supérieure de surveillance. Selon la jurisprudence précitée, l'invitation faite par l'office à un créancier d'avoir à lui restituer une somme touchée à tort est une simple déclaration de volonté dépourvue de caractère officiel; elle ne constitue pas une décision susceptible de plainte au sens de l' art. 17 LP . L'office qui entend se retourner contre celui qui a bénéficié indûment d'un versement ne peut ainsi se borner à le sommer de restituer les fonds reçus; si l'intéressé refuse de s'exécuter bénévolement, l'office en est réduit à lui intenter l'action en enrichissement illégitime ( ATF 35 I 480 consid. 2 p. 482/483; ATF 61 III 36 , spéc. p. 38/39). L'arrêt entrepris consacrant une solution conforme au droit, le recours ne peut qu'être rejeté. Une rectification s'impose néanmoins d'office quant au sort de la plainte formée par la créancière gagiste. En l'absence de décision attaquable au sens de l' art. 17 LP , la plainte ne pouvait pas être admise, comme cela a été jugé en première instance cantonale et confirmé en instance de recours, mais devait être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